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E71E1" w14:textId="73059F55" w:rsidR="00F07D6D" w:rsidRDefault="00DE646C" w:rsidP="00DE646C">
      <w:pPr>
        <w:jc w:val="center"/>
        <w:rPr>
          <w:rFonts w:cstheme="minorHAnsi"/>
          <w:b/>
          <w:color w:val="000000"/>
          <w:shd w:val="clear" w:color="auto" w:fill="FFFFFF"/>
        </w:rPr>
      </w:pPr>
      <w:r w:rsidRPr="00291C7D">
        <w:rPr>
          <w:rFonts w:cstheme="minorHAnsi"/>
          <w:b/>
          <w:color w:val="000000"/>
          <w:shd w:val="clear" w:color="auto" w:fill="FFFFFF"/>
        </w:rPr>
        <w:t>Analyze the short-term and long-term factors that led to the Second World War</w:t>
      </w:r>
    </w:p>
    <w:p w14:paraId="5AF70660" w14:textId="77777777" w:rsidR="00DE646C" w:rsidRDefault="00DE646C" w:rsidP="00DE646C">
      <w:pPr>
        <w:jc w:val="center"/>
        <w:rPr>
          <w:rFonts w:cstheme="minorHAnsi"/>
          <w:b/>
          <w:color w:val="000000"/>
          <w:shd w:val="clear" w:color="auto" w:fill="FFFFFF"/>
        </w:rPr>
      </w:pPr>
    </w:p>
    <w:p w14:paraId="3C75FFE6" w14:textId="77777777" w:rsidR="00DE646C" w:rsidRPr="00501689" w:rsidRDefault="00DE646C" w:rsidP="00DE646C">
      <w:pPr>
        <w:jc w:val="center"/>
        <w:rPr>
          <w:b/>
          <w:sz w:val="24"/>
          <w:szCs w:val="24"/>
        </w:rPr>
      </w:pPr>
      <w:r w:rsidRPr="00501689">
        <w:rPr>
          <w:b/>
          <w:sz w:val="24"/>
          <w:szCs w:val="24"/>
        </w:rPr>
        <w:t>D</w:t>
      </w:r>
      <w:r>
        <w:rPr>
          <w:b/>
          <w:sz w:val="24"/>
          <w:szCs w:val="24"/>
        </w:rPr>
        <w:t>ocument 1</w:t>
      </w:r>
    </w:p>
    <w:p w14:paraId="15E6E5C9" w14:textId="77777777" w:rsidR="00DE646C" w:rsidRPr="00501689" w:rsidRDefault="00DE646C" w:rsidP="00DE646C">
      <w:pPr>
        <w:pBdr>
          <w:top w:val="single" w:sz="4" w:space="1" w:color="auto"/>
          <w:left w:val="single" w:sz="4" w:space="4" w:color="auto"/>
          <w:bottom w:val="single" w:sz="4" w:space="1" w:color="auto"/>
          <w:right w:val="single" w:sz="4" w:space="4" w:color="auto"/>
        </w:pBdr>
        <w:ind w:left="720" w:right="720"/>
        <w:rPr>
          <w:rFonts w:cstheme="minorHAnsi"/>
        </w:rPr>
      </w:pPr>
      <w:r w:rsidRPr="00501689">
        <w:rPr>
          <w:rFonts w:cstheme="minorHAnsi"/>
        </w:rPr>
        <w:t xml:space="preserve">Source: John Maynard Keynes, </w:t>
      </w:r>
      <w:r w:rsidRPr="00501689">
        <w:rPr>
          <w:rFonts w:cstheme="minorHAnsi"/>
          <w:i/>
        </w:rPr>
        <w:t xml:space="preserve">The Economic Consequences of the Peace, </w:t>
      </w:r>
      <w:r w:rsidRPr="00501689">
        <w:rPr>
          <w:rFonts w:cstheme="minorHAnsi"/>
        </w:rPr>
        <w:t>1919</w:t>
      </w:r>
    </w:p>
    <w:p w14:paraId="560A1195" w14:textId="77777777" w:rsidR="00DE646C" w:rsidRDefault="00DE646C" w:rsidP="00DE646C">
      <w:pPr>
        <w:pBdr>
          <w:top w:val="single" w:sz="4" w:space="1" w:color="auto"/>
          <w:left w:val="single" w:sz="4" w:space="4" w:color="auto"/>
          <w:bottom w:val="single" w:sz="4" w:space="1" w:color="auto"/>
          <w:right w:val="single" w:sz="4" w:space="4" w:color="auto"/>
        </w:pBdr>
        <w:ind w:left="720" w:right="720"/>
        <w:rPr>
          <w:rFonts w:cstheme="minorHAnsi"/>
          <w:color w:val="252525"/>
          <w:shd w:val="clear" w:color="auto" w:fill="FFFFFF"/>
        </w:rPr>
      </w:pPr>
      <w:r w:rsidRPr="00501689">
        <w:rPr>
          <w:rFonts w:cstheme="minorHAnsi"/>
          <w:color w:val="252525"/>
          <w:shd w:val="clear" w:color="auto" w:fill="FFFFFF"/>
        </w:rPr>
        <w:t xml:space="preserve">The nature of the contract between Germany and the Allies resulting from this exchange of documents is plain and unequivocal. The terms of the peace are to be in accordance with the addresses of the President, and the purpose of the peace conference is ‘to discuss the details of their application.’ The circumstances of the contract were of an unusually solemn and binding character; for one of the conditions of it was that Germany should agree to armistice terms which were to be such as would leave her helpless. Germany having rendered herself helpless in reliance on the contract, the </w:t>
      </w:r>
      <w:proofErr w:type="spellStart"/>
      <w:r w:rsidRPr="00501689">
        <w:rPr>
          <w:rFonts w:cstheme="minorHAnsi"/>
          <w:color w:val="252525"/>
          <w:shd w:val="clear" w:color="auto" w:fill="FFFFFF"/>
        </w:rPr>
        <w:t>honour</w:t>
      </w:r>
      <w:proofErr w:type="spellEnd"/>
      <w:r w:rsidRPr="00501689">
        <w:rPr>
          <w:rFonts w:cstheme="minorHAnsi"/>
          <w:color w:val="252525"/>
          <w:shd w:val="clear" w:color="auto" w:fill="FFFFFF"/>
        </w:rPr>
        <w:t xml:space="preserve"> of the Allies was peculiarly involved in fulfilling their part and, if there were ambiguities, in not using their position to take advantage of them.”</w:t>
      </w:r>
    </w:p>
    <w:p w14:paraId="47F73661" w14:textId="77777777" w:rsidR="00DE646C" w:rsidRDefault="00DE646C" w:rsidP="00DE646C"/>
    <w:p w14:paraId="79A9E149" w14:textId="77777777" w:rsidR="00DE646C" w:rsidRDefault="00DE646C" w:rsidP="00DE646C">
      <w:pPr>
        <w:jc w:val="center"/>
        <w:rPr>
          <w:rFonts w:cstheme="minorHAnsi"/>
          <w:b/>
          <w:color w:val="252525"/>
          <w:shd w:val="clear" w:color="auto" w:fill="FFFFFF"/>
        </w:rPr>
      </w:pPr>
      <w:r>
        <w:rPr>
          <w:rFonts w:cstheme="minorHAnsi"/>
          <w:b/>
          <w:color w:val="252525"/>
          <w:shd w:val="clear" w:color="auto" w:fill="FFFFFF"/>
        </w:rPr>
        <w:t>Document 2</w:t>
      </w:r>
    </w:p>
    <w:p w14:paraId="05349B12" w14:textId="77777777" w:rsidR="00DE646C" w:rsidRPr="0042132D" w:rsidRDefault="00DE646C" w:rsidP="00DE646C">
      <w:pPr>
        <w:ind w:left="720" w:right="720"/>
        <w:rPr>
          <w:rFonts w:cstheme="minorHAnsi"/>
          <w:color w:val="252525"/>
          <w:shd w:val="clear" w:color="auto" w:fill="FFFFFF"/>
        </w:rPr>
      </w:pPr>
      <w:r>
        <w:rPr>
          <w:rFonts w:cstheme="minorHAnsi"/>
          <w:color w:val="252525"/>
          <w:shd w:val="clear" w:color="auto" w:fill="FFFFFF"/>
        </w:rPr>
        <w:t xml:space="preserve">Source: Leonard Raven-Hill, </w:t>
      </w:r>
      <w:r>
        <w:rPr>
          <w:rFonts w:cstheme="minorHAnsi"/>
          <w:i/>
          <w:color w:val="252525"/>
          <w:shd w:val="clear" w:color="auto" w:fill="FFFFFF"/>
        </w:rPr>
        <w:t xml:space="preserve">Punch Magazine </w:t>
      </w:r>
      <w:r>
        <w:rPr>
          <w:rFonts w:cstheme="minorHAnsi"/>
          <w:color w:val="252525"/>
          <w:shd w:val="clear" w:color="auto" w:fill="FFFFFF"/>
        </w:rPr>
        <w:t>(a British magazine of humor and satire)</w:t>
      </w:r>
      <w:r>
        <w:rPr>
          <w:rFonts w:cstheme="minorHAnsi"/>
          <w:i/>
          <w:color w:val="252525"/>
          <w:shd w:val="clear" w:color="auto" w:fill="FFFFFF"/>
        </w:rPr>
        <w:t xml:space="preserve">, </w:t>
      </w:r>
      <w:r>
        <w:rPr>
          <w:rFonts w:cstheme="minorHAnsi"/>
          <w:color w:val="252525"/>
          <w:shd w:val="clear" w:color="auto" w:fill="FFFFFF"/>
        </w:rPr>
        <w:t>December 10, 1919</w:t>
      </w:r>
    </w:p>
    <w:p w14:paraId="5ABCD208" w14:textId="6ECDE236" w:rsidR="00DE646C" w:rsidRDefault="00DE646C" w:rsidP="00DE646C">
      <w:r>
        <w:rPr>
          <w:noProof/>
        </w:rPr>
        <w:drawing>
          <wp:inline distT="0" distB="0" distL="0" distR="0" wp14:anchorId="6B6C1D49" wp14:editId="2DAC7A79">
            <wp:extent cx="5281246" cy="3738061"/>
            <wp:effectExtent l="0" t="0" r="0" b="0"/>
            <wp:docPr id="11" name="Picture 11" descr="File:The Gap in the Brid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ile:The Gap in the Bridge.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89718" cy="3744058"/>
                    </a:xfrm>
                    <a:prstGeom prst="rect">
                      <a:avLst/>
                    </a:prstGeom>
                    <a:noFill/>
                    <a:ln>
                      <a:noFill/>
                    </a:ln>
                  </pic:spPr>
                </pic:pic>
              </a:graphicData>
            </a:graphic>
          </wp:inline>
        </w:drawing>
      </w:r>
    </w:p>
    <w:p w14:paraId="44E7B6E8" w14:textId="77777777" w:rsidR="00DE646C" w:rsidRDefault="00DE646C" w:rsidP="00DE646C"/>
    <w:p w14:paraId="4E10E991" w14:textId="77777777" w:rsidR="00DE646C" w:rsidRPr="0042132D" w:rsidRDefault="00DE646C" w:rsidP="00DE646C">
      <w:pPr>
        <w:jc w:val="center"/>
        <w:rPr>
          <w:rFonts w:cstheme="minorHAnsi"/>
          <w:b/>
          <w:color w:val="252525"/>
          <w:sz w:val="24"/>
          <w:szCs w:val="24"/>
          <w:shd w:val="clear" w:color="auto" w:fill="FFFFFF"/>
        </w:rPr>
      </w:pPr>
      <w:r>
        <w:rPr>
          <w:rFonts w:cstheme="minorHAnsi"/>
          <w:b/>
          <w:color w:val="252525"/>
          <w:sz w:val="24"/>
          <w:szCs w:val="24"/>
          <w:shd w:val="clear" w:color="auto" w:fill="FFFFFF"/>
        </w:rPr>
        <w:lastRenderedPageBreak/>
        <w:t>Document 3</w:t>
      </w:r>
    </w:p>
    <w:p w14:paraId="79DD402E" w14:textId="77777777" w:rsidR="00DE646C" w:rsidRPr="00501689" w:rsidRDefault="00DE646C" w:rsidP="00DE646C">
      <w:pPr>
        <w:pBdr>
          <w:top w:val="single" w:sz="4" w:space="1" w:color="auto"/>
          <w:left w:val="single" w:sz="4" w:space="4" w:color="auto"/>
          <w:bottom w:val="single" w:sz="4" w:space="1" w:color="auto"/>
          <w:right w:val="single" w:sz="4" w:space="4" w:color="auto"/>
        </w:pBdr>
        <w:ind w:left="720" w:right="720"/>
        <w:rPr>
          <w:color w:val="000000"/>
          <w:shd w:val="clear" w:color="auto" w:fill="FFFFFF"/>
        </w:rPr>
      </w:pPr>
      <w:r>
        <w:rPr>
          <w:color w:val="000000"/>
          <w:shd w:val="clear" w:color="auto" w:fill="FFFFFF"/>
        </w:rPr>
        <w:t xml:space="preserve">Source: Adolf Hitler, </w:t>
      </w:r>
      <w:r>
        <w:rPr>
          <w:i/>
          <w:color w:val="000000"/>
          <w:shd w:val="clear" w:color="auto" w:fill="FFFFFF"/>
        </w:rPr>
        <w:t xml:space="preserve">Mein Kampf, </w:t>
      </w:r>
      <w:r>
        <w:rPr>
          <w:color w:val="000000"/>
          <w:shd w:val="clear" w:color="auto" w:fill="FFFFFF"/>
        </w:rPr>
        <w:t>1923</w:t>
      </w:r>
    </w:p>
    <w:p w14:paraId="37F4231E" w14:textId="77777777" w:rsidR="00DE646C" w:rsidRPr="009F595B" w:rsidRDefault="00DE646C" w:rsidP="00DE646C">
      <w:pPr>
        <w:pBdr>
          <w:top w:val="single" w:sz="4" w:space="1" w:color="auto"/>
          <w:left w:val="single" w:sz="4" w:space="4" w:color="auto"/>
          <w:bottom w:val="single" w:sz="4" w:space="1" w:color="auto"/>
          <w:right w:val="single" w:sz="4" w:space="4" w:color="auto"/>
        </w:pBdr>
        <w:spacing w:after="0" w:line="240" w:lineRule="auto"/>
        <w:ind w:left="720" w:right="720"/>
        <w:rPr>
          <w:color w:val="000000"/>
          <w:shd w:val="clear" w:color="auto" w:fill="FFFFFF"/>
        </w:rPr>
      </w:pPr>
      <w:r w:rsidRPr="00501689">
        <w:rPr>
          <w:color w:val="000000"/>
          <w:shd w:val="clear" w:color="auto" w:fill="FFFFFF"/>
        </w:rPr>
        <w:t xml:space="preserve">Much as all of us today recognize the necessity of a reckoning with France, it would remain ineffectual in the long run if it represented the whole of our aim in foreign policy. It can and will achieve meaning only if it offers the rear cover for an enlargement of our people's </w:t>
      </w:r>
      <w:r>
        <w:rPr>
          <w:i/>
          <w:color w:val="000000"/>
          <w:shd w:val="clear" w:color="auto" w:fill="FFFFFF"/>
        </w:rPr>
        <w:t xml:space="preserve">lebensraum </w:t>
      </w:r>
      <w:r>
        <w:rPr>
          <w:color w:val="000000"/>
          <w:shd w:val="clear" w:color="auto" w:fill="FFFFFF"/>
        </w:rPr>
        <w:t>[</w:t>
      </w:r>
      <w:r w:rsidRPr="00501689">
        <w:rPr>
          <w:color w:val="000000"/>
          <w:shd w:val="clear" w:color="auto" w:fill="FFFFFF"/>
        </w:rPr>
        <w:t>living space</w:t>
      </w:r>
      <w:r>
        <w:rPr>
          <w:color w:val="000000"/>
          <w:shd w:val="clear" w:color="auto" w:fill="FFFFFF"/>
        </w:rPr>
        <w:t>]</w:t>
      </w:r>
      <w:r w:rsidRPr="00501689">
        <w:rPr>
          <w:color w:val="000000"/>
          <w:shd w:val="clear" w:color="auto" w:fill="FFFFFF"/>
        </w:rPr>
        <w:t xml:space="preserve"> in Europe. For it is not in colonial acquisitions that we must see the solution of this problem, but exclusively in the acquisition of a territory for settlement, which will enhance the area of the mother country, and hence not only keep the new settlers in the most intimate community with the land of their origin, but secure for the total area those advantages which lie in its unified magnitude.</w:t>
      </w:r>
    </w:p>
    <w:p w14:paraId="0051D7A1" w14:textId="77777777" w:rsidR="00DE646C" w:rsidRDefault="00DE646C" w:rsidP="00DE646C"/>
    <w:p w14:paraId="0ACD8BD5" w14:textId="77777777" w:rsidR="00DE646C" w:rsidRPr="0042132D" w:rsidRDefault="00DE646C" w:rsidP="00DE646C">
      <w:pPr>
        <w:jc w:val="center"/>
        <w:rPr>
          <w:rFonts w:cstheme="minorHAnsi"/>
          <w:b/>
          <w:color w:val="252525"/>
          <w:sz w:val="24"/>
          <w:szCs w:val="24"/>
          <w:shd w:val="clear" w:color="auto" w:fill="FFFFFF"/>
        </w:rPr>
      </w:pPr>
      <w:r>
        <w:rPr>
          <w:rFonts w:cstheme="minorHAnsi"/>
          <w:b/>
          <w:color w:val="252525"/>
          <w:sz w:val="24"/>
          <w:szCs w:val="24"/>
          <w:shd w:val="clear" w:color="auto" w:fill="FFFFFF"/>
        </w:rPr>
        <w:t>Document 4</w:t>
      </w:r>
    </w:p>
    <w:tbl>
      <w:tblPr>
        <w:tblStyle w:val="TableGrid"/>
        <w:tblW w:w="0" w:type="auto"/>
        <w:tblInd w:w="625" w:type="dxa"/>
        <w:tblLook w:val="04A0" w:firstRow="1" w:lastRow="0" w:firstColumn="1" w:lastColumn="0" w:noHBand="0" w:noVBand="1"/>
      </w:tblPr>
      <w:tblGrid>
        <w:gridCol w:w="2160"/>
        <w:gridCol w:w="1440"/>
        <w:gridCol w:w="1530"/>
        <w:gridCol w:w="1530"/>
        <w:gridCol w:w="1530"/>
      </w:tblGrid>
      <w:tr w:rsidR="00DE646C" w14:paraId="0B8758D6" w14:textId="77777777" w:rsidTr="006C2537">
        <w:tc>
          <w:tcPr>
            <w:tcW w:w="8190" w:type="dxa"/>
            <w:gridSpan w:val="5"/>
          </w:tcPr>
          <w:p w14:paraId="0A7A2919" w14:textId="77777777" w:rsidR="00DE646C" w:rsidRDefault="00DE646C" w:rsidP="006C2537">
            <w:pPr>
              <w:jc w:val="center"/>
              <w:rPr>
                <w:rFonts w:cstheme="minorHAnsi"/>
                <w:color w:val="252525"/>
                <w:shd w:val="clear" w:color="auto" w:fill="FFFFFF"/>
              </w:rPr>
            </w:pPr>
            <w:r>
              <w:rPr>
                <w:rFonts w:cstheme="minorHAnsi"/>
                <w:color w:val="252525"/>
                <w:shd w:val="clear" w:color="auto" w:fill="FFFFFF"/>
              </w:rPr>
              <w:t>Change in Economic Indicators, 1929-1932</w:t>
            </w:r>
          </w:p>
        </w:tc>
      </w:tr>
      <w:tr w:rsidR="00DE646C" w14:paraId="60DA87D6" w14:textId="77777777" w:rsidTr="006C2537">
        <w:tc>
          <w:tcPr>
            <w:tcW w:w="2160" w:type="dxa"/>
          </w:tcPr>
          <w:p w14:paraId="6267B86C" w14:textId="77777777" w:rsidR="00DE646C" w:rsidRPr="0042132D" w:rsidRDefault="00DE646C" w:rsidP="006C2537">
            <w:pPr>
              <w:rPr>
                <w:rFonts w:cstheme="minorHAnsi"/>
                <w:color w:val="252525"/>
                <w:shd w:val="clear" w:color="auto" w:fill="FFFFFF"/>
              </w:rPr>
            </w:pPr>
          </w:p>
        </w:tc>
        <w:tc>
          <w:tcPr>
            <w:tcW w:w="1440" w:type="dxa"/>
          </w:tcPr>
          <w:p w14:paraId="401AE74B" w14:textId="77777777" w:rsidR="00DE646C" w:rsidRPr="0042132D" w:rsidRDefault="00DE646C" w:rsidP="006C2537">
            <w:pPr>
              <w:jc w:val="center"/>
              <w:rPr>
                <w:rFonts w:cstheme="minorHAnsi"/>
                <w:color w:val="252525"/>
                <w:shd w:val="clear" w:color="auto" w:fill="FFFFFF"/>
              </w:rPr>
            </w:pPr>
            <w:r>
              <w:rPr>
                <w:rFonts w:cstheme="minorHAnsi"/>
                <w:color w:val="252525"/>
                <w:shd w:val="clear" w:color="auto" w:fill="FFFFFF"/>
              </w:rPr>
              <w:t>United States</w:t>
            </w:r>
          </w:p>
        </w:tc>
        <w:tc>
          <w:tcPr>
            <w:tcW w:w="1530" w:type="dxa"/>
          </w:tcPr>
          <w:p w14:paraId="6327FCD7" w14:textId="77777777" w:rsidR="00DE646C" w:rsidRPr="0042132D" w:rsidRDefault="00DE646C" w:rsidP="006C2537">
            <w:pPr>
              <w:jc w:val="center"/>
              <w:rPr>
                <w:rFonts w:cstheme="minorHAnsi"/>
                <w:color w:val="252525"/>
                <w:shd w:val="clear" w:color="auto" w:fill="FFFFFF"/>
              </w:rPr>
            </w:pPr>
            <w:r>
              <w:rPr>
                <w:rFonts w:cstheme="minorHAnsi"/>
                <w:color w:val="252525"/>
                <w:shd w:val="clear" w:color="auto" w:fill="FFFFFF"/>
              </w:rPr>
              <w:t>Great Britain</w:t>
            </w:r>
          </w:p>
        </w:tc>
        <w:tc>
          <w:tcPr>
            <w:tcW w:w="1530" w:type="dxa"/>
          </w:tcPr>
          <w:p w14:paraId="101BA0B8" w14:textId="77777777" w:rsidR="00DE646C" w:rsidRPr="0042132D" w:rsidRDefault="00DE646C" w:rsidP="006C2537">
            <w:pPr>
              <w:jc w:val="center"/>
              <w:rPr>
                <w:rFonts w:cstheme="minorHAnsi"/>
                <w:color w:val="252525"/>
                <w:shd w:val="clear" w:color="auto" w:fill="FFFFFF"/>
              </w:rPr>
            </w:pPr>
            <w:r>
              <w:rPr>
                <w:rFonts w:cstheme="minorHAnsi"/>
                <w:color w:val="252525"/>
                <w:shd w:val="clear" w:color="auto" w:fill="FFFFFF"/>
              </w:rPr>
              <w:t>France</w:t>
            </w:r>
          </w:p>
        </w:tc>
        <w:tc>
          <w:tcPr>
            <w:tcW w:w="1530" w:type="dxa"/>
          </w:tcPr>
          <w:p w14:paraId="0EF179CE" w14:textId="77777777" w:rsidR="00DE646C" w:rsidRPr="0042132D" w:rsidRDefault="00DE646C" w:rsidP="006C2537">
            <w:pPr>
              <w:jc w:val="center"/>
              <w:rPr>
                <w:rFonts w:cstheme="minorHAnsi"/>
                <w:color w:val="252525"/>
                <w:shd w:val="clear" w:color="auto" w:fill="FFFFFF"/>
              </w:rPr>
            </w:pPr>
            <w:r>
              <w:rPr>
                <w:rFonts w:cstheme="minorHAnsi"/>
                <w:color w:val="252525"/>
                <w:shd w:val="clear" w:color="auto" w:fill="FFFFFF"/>
              </w:rPr>
              <w:t>Germany</w:t>
            </w:r>
          </w:p>
        </w:tc>
      </w:tr>
      <w:tr w:rsidR="00DE646C" w14:paraId="193C8024" w14:textId="77777777" w:rsidTr="006C2537">
        <w:tc>
          <w:tcPr>
            <w:tcW w:w="2160" w:type="dxa"/>
          </w:tcPr>
          <w:p w14:paraId="3A99F8D4" w14:textId="77777777" w:rsidR="00DE646C" w:rsidRPr="0042132D" w:rsidRDefault="00DE646C" w:rsidP="006C2537">
            <w:pPr>
              <w:rPr>
                <w:rFonts w:cstheme="minorHAnsi"/>
                <w:color w:val="252525"/>
                <w:shd w:val="clear" w:color="auto" w:fill="FFFFFF"/>
              </w:rPr>
            </w:pPr>
            <w:r w:rsidRPr="0042132D">
              <w:rPr>
                <w:rFonts w:cstheme="minorHAnsi"/>
                <w:color w:val="252525"/>
                <w:shd w:val="clear" w:color="auto" w:fill="FFFFFF"/>
              </w:rPr>
              <w:t>Industrial Production</w:t>
            </w:r>
          </w:p>
        </w:tc>
        <w:tc>
          <w:tcPr>
            <w:tcW w:w="1440" w:type="dxa"/>
          </w:tcPr>
          <w:p w14:paraId="3FEBBFEC"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-46%</w:t>
            </w:r>
          </w:p>
        </w:tc>
        <w:tc>
          <w:tcPr>
            <w:tcW w:w="1530" w:type="dxa"/>
          </w:tcPr>
          <w:p w14:paraId="522E9195"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-23%</w:t>
            </w:r>
          </w:p>
        </w:tc>
        <w:tc>
          <w:tcPr>
            <w:tcW w:w="1530" w:type="dxa"/>
          </w:tcPr>
          <w:p w14:paraId="5F93DA97"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-24%</w:t>
            </w:r>
          </w:p>
        </w:tc>
        <w:tc>
          <w:tcPr>
            <w:tcW w:w="1530" w:type="dxa"/>
          </w:tcPr>
          <w:p w14:paraId="4635CE6A"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-41%</w:t>
            </w:r>
          </w:p>
        </w:tc>
      </w:tr>
      <w:tr w:rsidR="00DE646C" w14:paraId="79303D67" w14:textId="77777777" w:rsidTr="006C2537">
        <w:tc>
          <w:tcPr>
            <w:tcW w:w="2160" w:type="dxa"/>
          </w:tcPr>
          <w:p w14:paraId="410CB16E" w14:textId="77777777" w:rsidR="00DE646C" w:rsidRPr="0042132D" w:rsidRDefault="00DE646C" w:rsidP="006C2537">
            <w:pPr>
              <w:rPr>
                <w:rFonts w:cstheme="minorHAnsi"/>
                <w:color w:val="252525"/>
                <w:shd w:val="clear" w:color="auto" w:fill="FFFFFF"/>
              </w:rPr>
            </w:pPr>
            <w:r>
              <w:rPr>
                <w:rFonts w:cstheme="minorHAnsi"/>
                <w:color w:val="252525"/>
                <w:shd w:val="clear" w:color="auto" w:fill="FFFFFF"/>
              </w:rPr>
              <w:t>Wholesale Prices</w:t>
            </w:r>
          </w:p>
        </w:tc>
        <w:tc>
          <w:tcPr>
            <w:tcW w:w="1440" w:type="dxa"/>
          </w:tcPr>
          <w:p w14:paraId="1EFFA653"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-32%</w:t>
            </w:r>
          </w:p>
        </w:tc>
        <w:tc>
          <w:tcPr>
            <w:tcW w:w="1530" w:type="dxa"/>
          </w:tcPr>
          <w:p w14:paraId="509C7E11"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-33%</w:t>
            </w:r>
          </w:p>
        </w:tc>
        <w:tc>
          <w:tcPr>
            <w:tcW w:w="1530" w:type="dxa"/>
          </w:tcPr>
          <w:p w14:paraId="1E9D29B2"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-34%</w:t>
            </w:r>
          </w:p>
        </w:tc>
        <w:tc>
          <w:tcPr>
            <w:tcW w:w="1530" w:type="dxa"/>
          </w:tcPr>
          <w:p w14:paraId="0E554B23"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-29%</w:t>
            </w:r>
          </w:p>
        </w:tc>
      </w:tr>
      <w:tr w:rsidR="00DE646C" w14:paraId="28CBD6BA" w14:textId="77777777" w:rsidTr="006C2537">
        <w:tc>
          <w:tcPr>
            <w:tcW w:w="2160" w:type="dxa"/>
          </w:tcPr>
          <w:p w14:paraId="4AB08164" w14:textId="77777777" w:rsidR="00DE646C" w:rsidRPr="0042132D" w:rsidRDefault="00DE646C" w:rsidP="006C2537">
            <w:pPr>
              <w:rPr>
                <w:rFonts w:cstheme="minorHAnsi"/>
                <w:color w:val="252525"/>
                <w:shd w:val="clear" w:color="auto" w:fill="FFFFFF"/>
              </w:rPr>
            </w:pPr>
            <w:r>
              <w:rPr>
                <w:rFonts w:cstheme="minorHAnsi"/>
                <w:color w:val="252525"/>
                <w:shd w:val="clear" w:color="auto" w:fill="FFFFFF"/>
              </w:rPr>
              <w:t>Foreign Trade</w:t>
            </w:r>
          </w:p>
        </w:tc>
        <w:tc>
          <w:tcPr>
            <w:tcW w:w="1440" w:type="dxa"/>
          </w:tcPr>
          <w:p w14:paraId="7060C599"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-70%</w:t>
            </w:r>
          </w:p>
        </w:tc>
        <w:tc>
          <w:tcPr>
            <w:tcW w:w="1530" w:type="dxa"/>
          </w:tcPr>
          <w:p w14:paraId="4B896A7A"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-60%</w:t>
            </w:r>
          </w:p>
        </w:tc>
        <w:tc>
          <w:tcPr>
            <w:tcW w:w="1530" w:type="dxa"/>
          </w:tcPr>
          <w:p w14:paraId="71C6B9BC"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-54%</w:t>
            </w:r>
          </w:p>
        </w:tc>
        <w:tc>
          <w:tcPr>
            <w:tcW w:w="1530" w:type="dxa"/>
          </w:tcPr>
          <w:p w14:paraId="6FD06551"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-61%</w:t>
            </w:r>
          </w:p>
        </w:tc>
      </w:tr>
      <w:tr w:rsidR="00DE646C" w14:paraId="46CDE333" w14:textId="77777777" w:rsidTr="006C2537">
        <w:tc>
          <w:tcPr>
            <w:tcW w:w="2160" w:type="dxa"/>
          </w:tcPr>
          <w:p w14:paraId="2EF9729E" w14:textId="77777777" w:rsidR="00DE646C" w:rsidRPr="0042132D" w:rsidRDefault="00DE646C" w:rsidP="006C2537">
            <w:pPr>
              <w:rPr>
                <w:rFonts w:cstheme="minorHAnsi"/>
                <w:color w:val="252525"/>
                <w:shd w:val="clear" w:color="auto" w:fill="FFFFFF"/>
              </w:rPr>
            </w:pPr>
            <w:r>
              <w:rPr>
                <w:rFonts w:cstheme="minorHAnsi"/>
                <w:color w:val="252525"/>
                <w:shd w:val="clear" w:color="auto" w:fill="FFFFFF"/>
              </w:rPr>
              <w:t>Unemployment</w:t>
            </w:r>
          </w:p>
        </w:tc>
        <w:tc>
          <w:tcPr>
            <w:tcW w:w="1440" w:type="dxa"/>
          </w:tcPr>
          <w:p w14:paraId="32AED118"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+607%</w:t>
            </w:r>
          </w:p>
        </w:tc>
        <w:tc>
          <w:tcPr>
            <w:tcW w:w="1530" w:type="dxa"/>
          </w:tcPr>
          <w:p w14:paraId="77985A4F"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+129%</w:t>
            </w:r>
          </w:p>
        </w:tc>
        <w:tc>
          <w:tcPr>
            <w:tcW w:w="1530" w:type="dxa"/>
          </w:tcPr>
          <w:p w14:paraId="2ACD8BAD"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+214%</w:t>
            </w:r>
          </w:p>
        </w:tc>
        <w:tc>
          <w:tcPr>
            <w:tcW w:w="1530" w:type="dxa"/>
          </w:tcPr>
          <w:p w14:paraId="2A7432CE" w14:textId="77777777" w:rsidR="00DE646C" w:rsidRPr="0042132D" w:rsidRDefault="00DE646C" w:rsidP="006C2537">
            <w:pPr>
              <w:jc w:val="right"/>
              <w:rPr>
                <w:rFonts w:cstheme="minorHAnsi"/>
                <w:color w:val="252525"/>
                <w:shd w:val="clear" w:color="auto" w:fill="FFFFFF"/>
              </w:rPr>
            </w:pPr>
            <w:r>
              <w:rPr>
                <w:rFonts w:cstheme="minorHAnsi"/>
                <w:color w:val="252525"/>
                <w:shd w:val="clear" w:color="auto" w:fill="FFFFFF"/>
              </w:rPr>
              <w:t>+232%</w:t>
            </w:r>
          </w:p>
        </w:tc>
      </w:tr>
    </w:tbl>
    <w:p w14:paraId="49C53D18" w14:textId="77777777" w:rsidR="00DE646C" w:rsidRDefault="00DE646C" w:rsidP="00DE646C"/>
    <w:p w14:paraId="06D49563" w14:textId="77777777" w:rsidR="00DE646C" w:rsidRPr="0042132D" w:rsidRDefault="00DE646C" w:rsidP="00DE646C">
      <w:pPr>
        <w:jc w:val="center"/>
        <w:rPr>
          <w:rFonts w:cstheme="minorHAnsi"/>
          <w:b/>
          <w:color w:val="252525"/>
          <w:sz w:val="24"/>
          <w:szCs w:val="24"/>
          <w:shd w:val="clear" w:color="auto" w:fill="FFFFFF"/>
        </w:rPr>
      </w:pPr>
      <w:r>
        <w:rPr>
          <w:rFonts w:cstheme="minorHAnsi"/>
          <w:b/>
          <w:color w:val="252525"/>
          <w:sz w:val="24"/>
          <w:szCs w:val="24"/>
          <w:shd w:val="clear" w:color="auto" w:fill="FFFFFF"/>
        </w:rPr>
        <w:t>Document 5</w:t>
      </w:r>
    </w:p>
    <w:p w14:paraId="2473A9FE" w14:textId="77777777" w:rsidR="00DE646C" w:rsidRPr="0039274F" w:rsidRDefault="00DE646C" w:rsidP="00DE646C">
      <w:pPr>
        <w:pBdr>
          <w:top w:val="single" w:sz="4" w:space="1" w:color="auto"/>
          <w:left w:val="single" w:sz="4" w:space="4" w:color="auto"/>
          <w:bottom w:val="single" w:sz="4" w:space="1" w:color="auto"/>
          <w:right w:val="single" w:sz="4" w:space="4" w:color="auto"/>
        </w:pBdr>
        <w:spacing w:after="0" w:line="240" w:lineRule="auto"/>
        <w:ind w:left="720" w:right="720"/>
        <w:rPr>
          <w:rFonts w:cstheme="minorHAnsi"/>
          <w:color w:val="252525"/>
          <w:shd w:val="clear" w:color="auto" w:fill="FFFFFF"/>
        </w:rPr>
      </w:pPr>
      <w:r w:rsidRPr="00501689">
        <w:rPr>
          <w:rFonts w:cstheme="minorHAnsi"/>
          <w:color w:val="252525"/>
          <w:shd w:val="clear" w:color="auto" w:fill="FFFFFF"/>
        </w:rPr>
        <w:t xml:space="preserve">Source: </w:t>
      </w:r>
      <w:r>
        <w:rPr>
          <w:rFonts w:cstheme="minorHAnsi"/>
          <w:color w:val="252525"/>
          <w:shd w:val="clear" w:color="auto" w:fill="FFFFFF"/>
        </w:rPr>
        <w:t xml:space="preserve">Joachim von Ribbentrop, </w:t>
      </w:r>
      <w:r w:rsidRPr="00501689">
        <w:rPr>
          <w:rFonts w:cstheme="minorHAnsi"/>
          <w:color w:val="252525"/>
          <w:shd w:val="clear" w:color="auto" w:fill="FFFFFF"/>
        </w:rPr>
        <w:t>German Ambassador to Rome, 1937</w:t>
      </w:r>
    </w:p>
    <w:p w14:paraId="044D4381" w14:textId="77777777" w:rsidR="00DE646C" w:rsidRPr="00501689" w:rsidRDefault="00DE646C" w:rsidP="00DE646C">
      <w:pPr>
        <w:pBdr>
          <w:top w:val="single" w:sz="4" w:space="1" w:color="auto"/>
          <w:left w:val="single" w:sz="4" w:space="4" w:color="auto"/>
          <w:bottom w:val="single" w:sz="4" w:space="1" w:color="auto"/>
          <w:right w:val="single" w:sz="4" w:space="4" w:color="auto"/>
        </w:pBdr>
        <w:spacing w:after="0" w:line="240" w:lineRule="auto"/>
        <w:ind w:left="720" w:right="720"/>
      </w:pPr>
    </w:p>
    <w:p w14:paraId="23235141" w14:textId="77777777" w:rsidR="00DE646C" w:rsidRPr="00501689" w:rsidRDefault="00DE646C" w:rsidP="00DE646C">
      <w:pPr>
        <w:pBdr>
          <w:top w:val="single" w:sz="4" w:space="1" w:color="auto"/>
          <w:left w:val="single" w:sz="4" w:space="4" w:color="auto"/>
          <w:bottom w:val="single" w:sz="4" w:space="1" w:color="auto"/>
          <w:right w:val="single" w:sz="4" w:space="4" w:color="auto"/>
        </w:pBdr>
        <w:ind w:left="720" w:right="720"/>
        <w:rPr>
          <w:rFonts w:cstheme="minorHAnsi"/>
        </w:rPr>
      </w:pPr>
      <w:r w:rsidRPr="00501689">
        <w:rPr>
          <w:rFonts w:cstheme="minorHAnsi"/>
          <w:iCs/>
          <w:shd w:val="clear" w:color="auto" w:fill="FFFFFF"/>
        </w:rPr>
        <w:t>The good German-Italian relations prevailing at present are based on some elements that seem to guarantee durability but also on others of a transitory nature. The former derive primarily from the geographical situation, from many conditions of life shared in common and…also from the kinship of the two domestic political systems…The elements of a transitory nature spring from the political situation of the day, as for instance from the close collaboration in the Spanish conflict.</w:t>
      </w:r>
    </w:p>
    <w:p w14:paraId="5723DC98" w14:textId="77777777" w:rsidR="00DE646C" w:rsidRDefault="00DE646C" w:rsidP="00DE646C"/>
    <w:p w14:paraId="6330DFBC" w14:textId="77777777" w:rsidR="00DE646C" w:rsidRDefault="00DE646C" w:rsidP="00DE646C"/>
    <w:p w14:paraId="6BD2FC5A" w14:textId="77777777" w:rsidR="00DE646C" w:rsidRDefault="00DE646C" w:rsidP="00DE646C"/>
    <w:p w14:paraId="50B3EADA" w14:textId="77777777" w:rsidR="00DE646C" w:rsidRDefault="00DE646C" w:rsidP="00DE646C"/>
    <w:p w14:paraId="064E33EF" w14:textId="77777777" w:rsidR="00DE646C" w:rsidRDefault="00DE646C" w:rsidP="00DE646C"/>
    <w:p w14:paraId="69D94C1A" w14:textId="77777777" w:rsidR="00DE646C" w:rsidRDefault="00DE646C" w:rsidP="00DE646C"/>
    <w:p w14:paraId="2C115C32" w14:textId="77777777" w:rsidR="00DE646C" w:rsidRDefault="00DE646C" w:rsidP="00DE646C"/>
    <w:p w14:paraId="24076DD4" w14:textId="77777777" w:rsidR="00DE646C" w:rsidRDefault="00DE646C" w:rsidP="00DE646C">
      <w:pPr>
        <w:spacing w:after="120"/>
        <w:jc w:val="center"/>
        <w:rPr>
          <w:b/>
          <w:sz w:val="24"/>
          <w:szCs w:val="24"/>
        </w:rPr>
      </w:pPr>
      <w:r>
        <w:rPr>
          <w:b/>
          <w:sz w:val="24"/>
          <w:szCs w:val="24"/>
        </w:rPr>
        <w:lastRenderedPageBreak/>
        <w:t>Document 6</w:t>
      </w:r>
    </w:p>
    <w:p w14:paraId="4C0D11B7" w14:textId="77777777" w:rsidR="00DE646C" w:rsidRDefault="00DE646C" w:rsidP="00DE646C">
      <w:pPr>
        <w:pStyle w:val="NormalWeb"/>
        <w:pBdr>
          <w:top w:val="single" w:sz="4" w:space="1" w:color="auto"/>
          <w:left w:val="single" w:sz="4" w:space="1" w:color="auto"/>
          <w:bottom w:val="single" w:sz="4" w:space="1" w:color="auto"/>
          <w:right w:val="single" w:sz="4" w:space="1" w:color="auto"/>
        </w:pBdr>
        <w:shd w:val="clear" w:color="auto" w:fill="FFFFFF"/>
        <w:ind w:left="360" w:right="360"/>
        <w:rPr>
          <w:color w:val="000000"/>
          <w:sz w:val="22"/>
          <w:szCs w:val="22"/>
        </w:rPr>
      </w:pPr>
      <w:r>
        <w:rPr>
          <w:color w:val="000000"/>
          <w:sz w:val="22"/>
          <w:szCs w:val="22"/>
        </w:rPr>
        <w:t>Source: Neville Chamberlain, British Prime Minister, speech to Parliament, September 27, 1938</w:t>
      </w:r>
    </w:p>
    <w:p w14:paraId="2C6D800F" w14:textId="77777777" w:rsidR="00DE646C" w:rsidRPr="00501689" w:rsidRDefault="00DE646C" w:rsidP="00DE646C">
      <w:pPr>
        <w:pStyle w:val="NormalWeb"/>
        <w:pBdr>
          <w:top w:val="single" w:sz="4" w:space="1" w:color="auto"/>
          <w:left w:val="single" w:sz="4" w:space="1" w:color="auto"/>
          <w:bottom w:val="single" w:sz="4" w:space="1" w:color="auto"/>
          <w:right w:val="single" w:sz="4" w:space="1" w:color="auto"/>
        </w:pBdr>
        <w:shd w:val="clear" w:color="auto" w:fill="FFFFFF"/>
        <w:ind w:left="360" w:right="360"/>
        <w:rPr>
          <w:color w:val="000000"/>
          <w:sz w:val="22"/>
          <w:szCs w:val="22"/>
        </w:rPr>
      </w:pPr>
      <w:r w:rsidRPr="00501689">
        <w:rPr>
          <w:color w:val="000000"/>
          <w:sz w:val="22"/>
          <w:szCs w:val="22"/>
        </w:rPr>
        <w:t xml:space="preserve">However much we may sympathize with a small nation confronted by a big and powerful neighbor, we cannot in all circumstances undertake to involve the whole British Empire in war simply on her account. If we </w:t>
      </w:r>
      <w:proofErr w:type="gramStart"/>
      <w:r w:rsidRPr="00501689">
        <w:rPr>
          <w:color w:val="000000"/>
          <w:sz w:val="22"/>
          <w:szCs w:val="22"/>
        </w:rPr>
        <w:t>have to</w:t>
      </w:r>
      <w:proofErr w:type="gramEnd"/>
      <w:r w:rsidRPr="00501689">
        <w:rPr>
          <w:color w:val="000000"/>
          <w:sz w:val="22"/>
          <w:szCs w:val="22"/>
        </w:rPr>
        <w:t xml:space="preserve"> fight it must be on larger issues than that. I am myself a man of peace to the depths of my soul. Armed conflict between nations is a nightmare to me; but if I were convinced that any nation had made up its mind to dominate the world by fear of its force, I should feel that it must be resisted. Under such a domination life for people who believe in liberty would not be worth living; but war is a fearful thing, and we must be very clear, before we embark upon it, that it is really the great issues that are at stake, and that the call to risk everything in their defense, when all the consequences are weighed, is irresistible.</w:t>
      </w:r>
    </w:p>
    <w:p w14:paraId="7FD68C79" w14:textId="77777777" w:rsidR="00DE646C" w:rsidRPr="0042132D" w:rsidRDefault="00DE646C" w:rsidP="00DE646C">
      <w:pPr>
        <w:pStyle w:val="NormalWeb"/>
        <w:pBdr>
          <w:top w:val="single" w:sz="4" w:space="1" w:color="auto"/>
          <w:left w:val="single" w:sz="4" w:space="1" w:color="auto"/>
          <w:bottom w:val="single" w:sz="4" w:space="1" w:color="auto"/>
          <w:right w:val="single" w:sz="4" w:space="1" w:color="auto"/>
        </w:pBdr>
        <w:shd w:val="clear" w:color="auto" w:fill="FFFFFF"/>
        <w:ind w:left="360" w:right="360"/>
        <w:rPr>
          <w:color w:val="000000"/>
          <w:sz w:val="22"/>
          <w:szCs w:val="22"/>
        </w:rPr>
      </w:pPr>
      <w:r w:rsidRPr="00501689">
        <w:rPr>
          <w:color w:val="000000"/>
          <w:sz w:val="22"/>
          <w:szCs w:val="22"/>
        </w:rPr>
        <w:t xml:space="preserve">For the present I ask you to await as calmly as you can the events of the next few days. </w:t>
      </w:r>
      <w:proofErr w:type="gramStart"/>
      <w:r w:rsidRPr="00501689">
        <w:rPr>
          <w:color w:val="000000"/>
          <w:sz w:val="22"/>
          <w:szCs w:val="22"/>
        </w:rPr>
        <w:t>As long as</w:t>
      </w:r>
      <w:proofErr w:type="gramEnd"/>
      <w:r w:rsidRPr="00501689">
        <w:rPr>
          <w:color w:val="000000"/>
          <w:sz w:val="22"/>
          <w:szCs w:val="22"/>
        </w:rPr>
        <w:t xml:space="preserve"> war has not begun, there is always hope that it may be prevented, and you know that I am going to work for peace to the last moment. Good night</w:t>
      </w:r>
      <w:proofErr w:type="gramStart"/>
      <w:r w:rsidRPr="00501689">
        <w:rPr>
          <w:color w:val="000000"/>
          <w:sz w:val="22"/>
          <w:szCs w:val="22"/>
        </w:rPr>
        <w:t>. . . .</w:t>
      </w:r>
      <w:proofErr w:type="gramEnd"/>
    </w:p>
    <w:p w14:paraId="03FFF832" w14:textId="77777777" w:rsidR="00DE646C" w:rsidRDefault="00DE646C" w:rsidP="00DE646C"/>
    <w:p w14:paraId="7A467B69" w14:textId="77777777" w:rsidR="00DE646C" w:rsidRDefault="00DE646C" w:rsidP="00DE646C">
      <w:pPr>
        <w:spacing w:after="120" w:line="240" w:lineRule="auto"/>
        <w:jc w:val="center"/>
        <w:rPr>
          <w:b/>
          <w:sz w:val="24"/>
          <w:szCs w:val="24"/>
        </w:rPr>
      </w:pPr>
    </w:p>
    <w:p w14:paraId="044DCD0D" w14:textId="77777777" w:rsidR="00DE646C" w:rsidRDefault="00DE646C" w:rsidP="00DE646C">
      <w:pPr>
        <w:spacing w:after="120" w:line="240" w:lineRule="auto"/>
        <w:jc w:val="center"/>
        <w:rPr>
          <w:b/>
          <w:sz w:val="24"/>
          <w:szCs w:val="24"/>
        </w:rPr>
      </w:pPr>
    </w:p>
    <w:p w14:paraId="5F7CC494" w14:textId="77777777" w:rsidR="00DE646C" w:rsidRDefault="00DE646C" w:rsidP="00DE646C">
      <w:pPr>
        <w:spacing w:after="120" w:line="240" w:lineRule="auto"/>
        <w:jc w:val="center"/>
        <w:rPr>
          <w:b/>
          <w:sz w:val="24"/>
          <w:szCs w:val="24"/>
        </w:rPr>
      </w:pPr>
    </w:p>
    <w:p w14:paraId="7E1B1DC0" w14:textId="77777777" w:rsidR="00DE646C" w:rsidRDefault="00DE646C" w:rsidP="00DE646C">
      <w:pPr>
        <w:spacing w:after="120" w:line="240" w:lineRule="auto"/>
        <w:jc w:val="center"/>
        <w:rPr>
          <w:b/>
          <w:sz w:val="24"/>
          <w:szCs w:val="24"/>
        </w:rPr>
      </w:pPr>
    </w:p>
    <w:p w14:paraId="55A54B87" w14:textId="77777777" w:rsidR="00DE646C" w:rsidRDefault="00DE646C" w:rsidP="00DE646C">
      <w:pPr>
        <w:spacing w:after="120" w:line="240" w:lineRule="auto"/>
        <w:jc w:val="center"/>
        <w:rPr>
          <w:b/>
          <w:sz w:val="24"/>
          <w:szCs w:val="24"/>
        </w:rPr>
      </w:pPr>
    </w:p>
    <w:p w14:paraId="1BB9521F" w14:textId="77777777" w:rsidR="00DE646C" w:rsidRDefault="00DE646C" w:rsidP="00DE646C">
      <w:pPr>
        <w:spacing w:after="120" w:line="240" w:lineRule="auto"/>
        <w:jc w:val="center"/>
        <w:rPr>
          <w:b/>
          <w:sz w:val="24"/>
          <w:szCs w:val="24"/>
        </w:rPr>
      </w:pPr>
    </w:p>
    <w:p w14:paraId="4843B650" w14:textId="77777777" w:rsidR="00DE646C" w:rsidRDefault="00DE646C" w:rsidP="00DE646C">
      <w:pPr>
        <w:spacing w:after="120" w:line="240" w:lineRule="auto"/>
        <w:jc w:val="center"/>
        <w:rPr>
          <w:b/>
          <w:sz w:val="24"/>
          <w:szCs w:val="24"/>
        </w:rPr>
      </w:pPr>
    </w:p>
    <w:p w14:paraId="2963FDDD" w14:textId="77777777" w:rsidR="00DE646C" w:rsidRDefault="00DE646C" w:rsidP="00DE646C">
      <w:pPr>
        <w:spacing w:after="120" w:line="240" w:lineRule="auto"/>
        <w:jc w:val="center"/>
        <w:rPr>
          <w:b/>
          <w:sz w:val="24"/>
          <w:szCs w:val="24"/>
        </w:rPr>
      </w:pPr>
    </w:p>
    <w:p w14:paraId="61891E2D" w14:textId="77777777" w:rsidR="00DE646C" w:rsidRDefault="00DE646C" w:rsidP="00DE646C">
      <w:pPr>
        <w:spacing w:after="120" w:line="240" w:lineRule="auto"/>
        <w:jc w:val="center"/>
        <w:rPr>
          <w:b/>
          <w:sz w:val="24"/>
          <w:szCs w:val="24"/>
        </w:rPr>
      </w:pPr>
    </w:p>
    <w:p w14:paraId="0CC73B25" w14:textId="77777777" w:rsidR="00DE646C" w:rsidRDefault="00DE646C" w:rsidP="00DE646C">
      <w:pPr>
        <w:spacing w:after="120" w:line="240" w:lineRule="auto"/>
        <w:jc w:val="center"/>
        <w:rPr>
          <w:b/>
          <w:sz w:val="24"/>
          <w:szCs w:val="24"/>
        </w:rPr>
      </w:pPr>
    </w:p>
    <w:p w14:paraId="4C3A0870" w14:textId="77777777" w:rsidR="00DE646C" w:rsidRDefault="00DE646C" w:rsidP="00DE646C">
      <w:pPr>
        <w:spacing w:after="120" w:line="240" w:lineRule="auto"/>
        <w:jc w:val="center"/>
        <w:rPr>
          <w:b/>
          <w:sz w:val="24"/>
          <w:szCs w:val="24"/>
        </w:rPr>
      </w:pPr>
    </w:p>
    <w:p w14:paraId="02CB4157" w14:textId="77777777" w:rsidR="00DE646C" w:rsidRDefault="00DE646C" w:rsidP="00DE646C">
      <w:pPr>
        <w:spacing w:after="120" w:line="240" w:lineRule="auto"/>
        <w:jc w:val="center"/>
        <w:rPr>
          <w:b/>
          <w:sz w:val="24"/>
          <w:szCs w:val="24"/>
        </w:rPr>
      </w:pPr>
    </w:p>
    <w:p w14:paraId="07AB4B0B" w14:textId="77777777" w:rsidR="00DE646C" w:rsidRDefault="00DE646C" w:rsidP="00DE646C">
      <w:pPr>
        <w:spacing w:after="120" w:line="240" w:lineRule="auto"/>
        <w:jc w:val="center"/>
        <w:rPr>
          <w:b/>
          <w:sz w:val="24"/>
          <w:szCs w:val="24"/>
        </w:rPr>
      </w:pPr>
    </w:p>
    <w:p w14:paraId="04002DC2" w14:textId="77777777" w:rsidR="00DE646C" w:rsidRDefault="00DE646C" w:rsidP="00DE646C">
      <w:pPr>
        <w:spacing w:after="120" w:line="240" w:lineRule="auto"/>
        <w:jc w:val="center"/>
        <w:rPr>
          <w:b/>
          <w:sz w:val="24"/>
          <w:szCs w:val="24"/>
        </w:rPr>
      </w:pPr>
    </w:p>
    <w:p w14:paraId="05F81CCE" w14:textId="77777777" w:rsidR="00DE646C" w:rsidRDefault="00DE646C" w:rsidP="00DE646C">
      <w:pPr>
        <w:spacing w:after="120" w:line="240" w:lineRule="auto"/>
        <w:jc w:val="center"/>
        <w:rPr>
          <w:b/>
          <w:sz w:val="24"/>
          <w:szCs w:val="24"/>
        </w:rPr>
      </w:pPr>
    </w:p>
    <w:p w14:paraId="3488586A" w14:textId="77777777" w:rsidR="00DE646C" w:rsidRDefault="00DE646C" w:rsidP="00DE646C">
      <w:pPr>
        <w:spacing w:after="120" w:line="240" w:lineRule="auto"/>
        <w:jc w:val="center"/>
        <w:rPr>
          <w:b/>
          <w:sz w:val="24"/>
          <w:szCs w:val="24"/>
        </w:rPr>
      </w:pPr>
    </w:p>
    <w:p w14:paraId="45610F92" w14:textId="77777777" w:rsidR="00DE646C" w:rsidRDefault="00DE646C" w:rsidP="00DE646C">
      <w:pPr>
        <w:spacing w:after="120" w:line="240" w:lineRule="auto"/>
        <w:jc w:val="center"/>
        <w:rPr>
          <w:b/>
          <w:sz w:val="24"/>
          <w:szCs w:val="24"/>
        </w:rPr>
      </w:pPr>
    </w:p>
    <w:p w14:paraId="6DFE0172" w14:textId="77777777" w:rsidR="00DE646C" w:rsidRDefault="00DE646C" w:rsidP="00DE646C">
      <w:pPr>
        <w:spacing w:after="120" w:line="240" w:lineRule="auto"/>
        <w:jc w:val="center"/>
        <w:rPr>
          <w:b/>
          <w:sz w:val="24"/>
          <w:szCs w:val="24"/>
        </w:rPr>
      </w:pPr>
    </w:p>
    <w:p w14:paraId="7249D14C" w14:textId="379F1BE5" w:rsidR="00DE646C" w:rsidRPr="00501689" w:rsidRDefault="00DE646C" w:rsidP="00DE646C">
      <w:pPr>
        <w:spacing w:after="120" w:line="240" w:lineRule="auto"/>
        <w:jc w:val="center"/>
        <w:rPr>
          <w:b/>
          <w:sz w:val="24"/>
          <w:szCs w:val="24"/>
        </w:rPr>
      </w:pPr>
      <w:r>
        <w:rPr>
          <w:b/>
          <w:sz w:val="24"/>
          <w:szCs w:val="24"/>
        </w:rPr>
        <w:lastRenderedPageBreak/>
        <w:t>Document 7</w:t>
      </w:r>
    </w:p>
    <w:p w14:paraId="14EF3577" w14:textId="77777777" w:rsidR="00DE646C" w:rsidRDefault="00DE646C" w:rsidP="00DE646C">
      <w:pPr>
        <w:pBdr>
          <w:top w:val="single" w:sz="4" w:space="1" w:color="auto"/>
          <w:left w:val="single" w:sz="4" w:space="1" w:color="auto"/>
          <w:bottom w:val="single" w:sz="4" w:space="1" w:color="auto"/>
          <w:right w:val="single" w:sz="4" w:space="1" w:color="auto"/>
        </w:pBdr>
        <w:shd w:val="clear" w:color="auto" w:fill="FFFFFF"/>
        <w:spacing w:before="100" w:beforeAutospacing="1" w:after="100" w:afterAutospacing="1" w:line="240" w:lineRule="auto"/>
        <w:ind w:left="360" w:right="360"/>
        <w:rPr>
          <w:rFonts w:eastAsia="Times New Roman" w:cstheme="minorHAnsi"/>
          <w:color w:val="000000"/>
        </w:rPr>
      </w:pPr>
      <w:r>
        <w:rPr>
          <w:rFonts w:eastAsia="Times New Roman" w:cstheme="minorHAnsi"/>
          <w:color w:val="000000"/>
        </w:rPr>
        <w:t>Source: German-Soviet Non-Aggression Pact, August 23, 1939</w:t>
      </w:r>
    </w:p>
    <w:p w14:paraId="37E2DC97" w14:textId="77777777" w:rsidR="00DE646C" w:rsidRPr="00501689" w:rsidRDefault="00DE646C" w:rsidP="00DE646C">
      <w:pPr>
        <w:pBdr>
          <w:top w:val="single" w:sz="4" w:space="1" w:color="auto"/>
          <w:left w:val="single" w:sz="4" w:space="1" w:color="auto"/>
          <w:bottom w:val="single" w:sz="4" w:space="1" w:color="auto"/>
          <w:right w:val="single" w:sz="4" w:space="1" w:color="auto"/>
        </w:pBdr>
        <w:shd w:val="clear" w:color="auto" w:fill="FFFFFF"/>
        <w:spacing w:before="100" w:beforeAutospacing="1" w:after="100" w:afterAutospacing="1" w:line="255" w:lineRule="atLeast"/>
        <w:ind w:left="360" w:right="360" w:firstLine="375"/>
        <w:rPr>
          <w:rFonts w:eastAsia="Times New Roman" w:cstheme="minorHAnsi"/>
          <w:color w:val="000000"/>
        </w:rPr>
      </w:pPr>
      <w:r w:rsidRPr="00501689">
        <w:rPr>
          <w:rFonts w:eastAsia="Times New Roman" w:cstheme="minorHAnsi"/>
          <w:color w:val="000000"/>
        </w:rPr>
        <w:t>The Government of the German Reich and the Government of the Union of Soviet Socialist Republics desirous of strengthening the cause of peace between Germany and the U.S.S.R and proceeding from the fundamental provisions of the Neutrality Agreement concluded in April 1926 between Germany and the U.S.S.R., have reached the following agreement:</w:t>
      </w:r>
    </w:p>
    <w:p w14:paraId="153555D7"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outlineLvl w:val="2"/>
        <w:rPr>
          <w:rFonts w:eastAsia="Times New Roman" w:cstheme="minorHAnsi"/>
          <w:b/>
          <w:bCs/>
          <w:color w:val="000000" w:themeColor="text1"/>
        </w:rPr>
      </w:pPr>
      <w:r w:rsidRPr="0042132D">
        <w:rPr>
          <w:rFonts w:eastAsia="Times New Roman" w:cstheme="minorHAnsi"/>
          <w:b/>
          <w:bCs/>
          <w:color w:val="000000" w:themeColor="text1"/>
        </w:rPr>
        <w:t>ARTICLE I</w:t>
      </w:r>
    </w:p>
    <w:p w14:paraId="3A2AC96F"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firstLine="375"/>
        <w:rPr>
          <w:rFonts w:eastAsia="Times New Roman" w:cstheme="minorHAnsi"/>
          <w:color w:val="000000" w:themeColor="text1"/>
        </w:rPr>
      </w:pPr>
      <w:r w:rsidRPr="0042132D">
        <w:rPr>
          <w:rFonts w:eastAsia="Times New Roman" w:cstheme="minorHAnsi"/>
          <w:color w:val="000000" w:themeColor="text1"/>
        </w:rPr>
        <w:t xml:space="preserve">Both High Contracting Parties </w:t>
      </w:r>
      <w:proofErr w:type="gramStart"/>
      <w:r w:rsidRPr="0042132D">
        <w:rPr>
          <w:rFonts w:eastAsia="Times New Roman" w:cstheme="minorHAnsi"/>
          <w:color w:val="000000" w:themeColor="text1"/>
        </w:rPr>
        <w:t>obligate,</w:t>
      </w:r>
      <w:proofErr w:type="gramEnd"/>
      <w:r w:rsidRPr="0042132D">
        <w:rPr>
          <w:rFonts w:eastAsia="Times New Roman" w:cstheme="minorHAnsi"/>
          <w:color w:val="000000" w:themeColor="text1"/>
        </w:rPr>
        <w:t xml:space="preserve"> themselves to desist from any act of violence, any aggressive action, and any attack on each other, either individually or jointly with other powers.</w:t>
      </w:r>
    </w:p>
    <w:p w14:paraId="167E873C"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outlineLvl w:val="2"/>
        <w:rPr>
          <w:rFonts w:eastAsia="Times New Roman" w:cstheme="minorHAnsi"/>
          <w:b/>
          <w:bCs/>
          <w:color w:val="000000" w:themeColor="text1"/>
        </w:rPr>
      </w:pPr>
      <w:r w:rsidRPr="0042132D">
        <w:rPr>
          <w:rFonts w:eastAsia="Times New Roman" w:cstheme="minorHAnsi"/>
          <w:b/>
          <w:bCs/>
          <w:color w:val="000000" w:themeColor="text1"/>
        </w:rPr>
        <w:t>ARTICLE II</w:t>
      </w:r>
    </w:p>
    <w:p w14:paraId="0F16CF75"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firstLine="375"/>
        <w:rPr>
          <w:rFonts w:eastAsia="Times New Roman" w:cstheme="minorHAnsi"/>
          <w:color w:val="000000" w:themeColor="text1"/>
        </w:rPr>
      </w:pPr>
      <w:r w:rsidRPr="0042132D">
        <w:rPr>
          <w:rFonts w:eastAsia="Times New Roman" w:cstheme="minorHAnsi"/>
          <w:color w:val="000000" w:themeColor="text1"/>
        </w:rPr>
        <w:t>Should one of the High Contracting Parties become the object of belligerent action by a third power, the other High Contracting Party shall in no manner lend its support to this third power.</w:t>
      </w:r>
    </w:p>
    <w:p w14:paraId="792179FE"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outlineLvl w:val="2"/>
        <w:rPr>
          <w:rFonts w:eastAsia="Times New Roman" w:cstheme="minorHAnsi"/>
          <w:b/>
          <w:bCs/>
          <w:color w:val="000000" w:themeColor="text1"/>
        </w:rPr>
      </w:pPr>
      <w:r w:rsidRPr="0042132D">
        <w:rPr>
          <w:rFonts w:eastAsia="Times New Roman" w:cstheme="minorHAnsi"/>
          <w:b/>
          <w:bCs/>
          <w:color w:val="000000" w:themeColor="text1"/>
        </w:rPr>
        <w:t>ARTICLE III</w:t>
      </w:r>
    </w:p>
    <w:p w14:paraId="1451F1D9"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firstLine="375"/>
        <w:rPr>
          <w:rFonts w:eastAsia="Times New Roman" w:cstheme="minorHAnsi"/>
          <w:color w:val="000000" w:themeColor="text1"/>
        </w:rPr>
      </w:pPr>
      <w:r w:rsidRPr="0042132D">
        <w:rPr>
          <w:rFonts w:eastAsia="Times New Roman" w:cstheme="minorHAnsi"/>
          <w:color w:val="000000" w:themeColor="text1"/>
        </w:rPr>
        <w:t xml:space="preserve">The Governments of the two High Contracting Parties shall in the future maintain continual contact with one another for the purpose of consultation </w:t>
      </w:r>
      <w:proofErr w:type="gramStart"/>
      <w:r w:rsidRPr="0042132D">
        <w:rPr>
          <w:rFonts w:eastAsia="Times New Roman" w:cstheme="minorHAnsi"/>
          <w:color w:val="000000" w:themeColor="text1"/>
        </w:rPr>
        <w:t>in order to</w:t>
      </w:r>
      <w:proofErr w:type="gramEnd"/>
      <w:r w:rsidRPr="0042132D">
        <w:rPr>
          <w:rFonts w:eastAsia="Times New Roman" w:cstheme="minorHAnsi"/>
          <w:color w:val="000000" w:themeColor="text1"/>
        </w:rPr>
        <w:t xml:space="preserve"> exchange information on problems affecting their common interests.</w:t>
      </w:r>
    </w:p>
    <w:p w14:paraId="26B7CCF4"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outlineLvl w:val="2"/>
        <w:rPr>
          <w:rFonts w:eastAsia="Times New Roman" w:cstheme="minorHAnsi"/>
          <w:b/>
          <w:bCs/>
          <w:color w:val="000000" w:themeColor="text1"/>
        </w:rPr>
      </w:pPr>
      <w:r w:rsidRPr="0042132D">
        <w:rPr>
          <w:rFonts w:eastAsia="Times New Roman" w:cstheme="minorHAnsi"/>
          <w:b/>
          <w:bCs/>
          <w:color w:val="000000" w:themeColor="text1"/>
        </w:rPr>
        <w:t>ARTICLE IV</w:t>
      </w:r>
    </w:p>
    <w:p w14:paraId="743E6C2D"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firstLine="375"/>
        <w:rPr>
          <w:rFonts w:eastAsia="Times New Roman" w:cstheme="minorHAnsi"/>
          <w:color w:val="000000" w:themeColor="text1"/>
        </w:rPr>
      </w:pPr>
      <w:r w:rsidRPr="0042132D">
        <w:rPr>
          <w:rFonts w:eastAsia="Times New Roman" w:cstheme="minorHAnsi"/>
          <w:color w:val="000000" w:themeColor="text1"/>
        </w:rPr>
        <w:t>Neither of the two High Contracting Parties shall participate in any grouping of powers whatsoever that is directly or indirectly aimed at the other party.</w:t>
      </w:r>
    </w:p>
    <w:p w14:paraId="19C8FBC0"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outlineLvl w:val="2"/>
        <w:rPr>
          <w:rFonts w:eastAsia="Times New Roman" w:cstheme="minorHAnsi"/>
          <w:b/>
          <w:bCs/>
          <w:color w:val="000000" w:themeColor="text1"/>
        </w:rPr>
      </w:pPr>
      <w:r w:rsidRPr="0042132D">
        <w:rPr>
          <w:rFonts w:eastAsia="Times New Roman" w:cstheme="minorHAnsi"/>
          <w:b/>
          <w:bCs/>
          <w:color w:val="000000" w:themeColor="text1"/>
        </w:rPr>
        <w:t>ARTICLE V</w:t>
      </w:r>
    </w:p>
    <w:p w14:paraId="4E6EC2E6"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firstLine="375"/>
        <w:rPr>
          <w:rFonts w:eastAsia="Times New Roman" w:cstheme="minorHAnsi"/>
          <w:color w:val="000000" w:themeColor="text1"/>
        </w:rPr>
      </w:pPr>
      <w:r w:rsidRPr="0042132D">
        <w:rPr>
          <w:rFonts w:eastAsia="Times New Roman" w:cstheme="minorHAnsi"/>
          <w:color w:val="000000" w:themeColor="text1"/>
        </w:rPr>
        <w:t>Should disputes or conflicts arise between the High Contracting Parties over problems of one kind or another, both parties shall settle these disputes or conflicts exclusively through friendly exchange of opinion or, if necessary, through the establishment of arbitration commissions.</w:t>
      </w:r>
    </w:p>
    <w:p w14:paraId="0A37DCB5" w14:textId="77777777" w:rsidR="00DE646C" w:rsidRPr="0042132D" w:rsidRDefault="00DE646C" w:rsidP="00DE646C">
      <w:pPr>
        <w:pBdr>
          <w:top w:val="single" w:sz="4" w:space="1" w:color="auto"/>
          <w:left w:val="single" w:sz="4" w:space="1" w:color="auto"/>
          <w:bottom w:val="single" w:sz="4" w:space="1" w:color="auto"/>
          <w:right w:val="single" w:sz="4" w:space="1" w:color="auto"/>
        </w:pBdr>
        <w:shd w:val="clear" w:color="auto" w:fill="FFFFFF"/>
        <w:spacing w:after="0" w:line="240" w:lineRule="auto"/>
        <w:ind w:left="360" w:right="360"/>
        <w:outlineLvl w:val="2"/>
        <w:rPr>
          <w:rFonts w:eastAsia="Times New Roman" w:cstheme="minorHAnsi"/>
          <w:b/>
          <w:bCs/>
          <w:color w:val="000000" w:themeColor="text1"/>
        </w:rPr>
      </w:pPr>
      <w:r w:rsidRPr="0042132D">
        <w:rPr>
          <w:rFonts w:eastAsia="Times New Roman" w:cstheme="minorHAnsi"/>
          <w:b/>
          <w:bCs/>
          <w:color w:val="000000" w:themeColor="text1"/>
        </w:rPr>
        <w:t>ARTICLE VI</w:t>
      </w:r>
    </w:p>
    <w:p w14:paraId="154AC7E8" w14:textId="1C1AB57E" w:rsidR="00DE646C" w:rsidRDefault="00DE646C" w:rsidP="00DE646C">
      <w:r w:rsidRPr="0042132D">
        <w:rPr>
          <w:rFonts w:eastAsia="Times New Roman" w:cstheme="minorHAnsi"/>
          <w:color w:val="000000" w:themeColor="text1"/>
        </w:rPr>
        <w:t>The present treaty is concluded for a period of ten years, with the provision that, in so far as one of the High Contracting</w:t>
      </w:r>
      <w:r w:rsidRPr="00501689">
        <w:rPr>
          <w:rFonts w:eastAsia="Times New Roman" w:cstheme="minorHAnsi"/>
          <w:color w:val="000000"/>
        </w:rPr>
        <w:t xml:space="preserve"> Parties does not denounce it one year prior to the expiration of this period, the validity of this treaty shall automatically be extended for another five </w:t>
      </w:r>
      <w:proofErr w:type="gramStart"/>
      <w:r w:rsidRPr="00501689">
        <w:rPr>
          <w:rFonts w:eastAsia="Times New Roman" w:cstheme="minorHAnsi"/>
          <w:color w:val="000000"/>
        </w:rPr>
        <w:t>years</w:t>
      </w:r>
      <w:proofErr w:type="gramEnd"/>
    </w:p>
    <w:sectPr w:rsidR="00DE64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46C"/>
    <w:rsid w:val="00096580"/>
    <w:rsid w:val="004F0FE1"/>
    <w:rsid w:val="00D47D68"/>
    <w:rsid w:val="00DE646C"/>
    <w:rsid w:val="00F07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D2A52"/>
  <w15:chartTrackingRefBased/>
  <w15:docId w15:val="{FC04CE21-0076-4AD8-9A7F-04B49C113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4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64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64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64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64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64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4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4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4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4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64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64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64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64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64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4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4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46C"/>
    <w:rPr>
      <w:rFonts w:eastAsiaTheme="majorEastAsia" w:cstheme="majorBidi"/>
      <w:color w:val="272727" w:themeColor="text1" w:themeTint="D8"/>
    </w:rPr>
  </w:style>
  <w:style w:type="paragraph" w:styleId="Title">
    <w:name w:val="Title"/>
    <w:basedOn w:val="Normal"/>
    <w:next w:val="Normal"/>
    <w:link w:val="TitleChar"/>
    <w:uiPriority w:val="10"/>
    <w:qFormat/>
    <w:rsid w:val="00DE64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4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4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4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46C"/>
    <w:pPr>
      <w:spacing w:before="160"/>
      <w:jc w:val="center"/>
    </w:pPr>
    <w:rPr>
      <w:i/>
      <w:iCs/>
      <w:color w:val="404040" w:themeColor="text1" w:themeTint="BF"/>
    </w:rPr>
  </w:style>
  <w:style w:type="character" w:customStyle="1" w:styleId="QuoteChar">
    <w:name w:val="Quote Char"/>
    <w:basedOn w:val="DefaultParagraphFont"/>
    <w:link w:val="Quote"/>
    <w:uiPriority w:val="29"/>
    <w:rsid w:val="00DE646C"/>
    <w:rPr>
      <w:i/>
      <w:iCs/>
      <w:color w:val="404040" w:themeColor="text1" w:themeTint="BF"/>
    </w:rPr>
  </w:style>
  <w:style w:type="paragraph" w:styleId="ListParagraph">
    <w:name w:val="List Paragraph"/>
    <w:basedOn w:val="Normal"/>
    <w:uiPriority w:val="34"/>
    <w:qFormat/>
    <w:rsid w:val="00DE646C"/>
    <w:pPr>
      <w:ind w:left="720"/>
      <w:contextualSpacing/>
    </w:pPr>
  </w:style>
  <w:style w:type="character" w:styleId="IntenseEmphasis">
    <w:name w:val="Intense Emphasis"/>
    <w:basedOn w:val="DefaultParagraphFont"/>
    <w:uiPriority w:val="21"/>
    <w:qFormat/>
    <w:rsid w:val="00DE646C"/>
    <w:rPr>
      <w:i/>
      <w:iCs/>
      <w:color w:val="0F4761" w:themeColor="accent1" w:themeShade="BF"/>
    </w:rPr>
  </w:style>
  <w:style w:type="paragraph" w:styleId="IntenseQuote">
    <w:name w:val="Intense Quote"/>
    <w:basedOn w:val="Normal"/>
    <w:next w:val="Normal"/>
    <w:link w:val="IntenseQuoteChar"/>
    <w:uiPriority w:val="30"/>
    <w:qFormat/>
    <w:rsid w:val="00DE64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646C"/>
    <w:rPr>
      <w:i/>
      <w:iCs/>
      <w:color w:val="0F4761" w:themeColor="accent1" w:themeShade="BF"/>
    </w:rPr>
  </w:style>
  <w:style w:type="character" w:styleId="IntenseReference">
    <w:name w:val="Intense Reference"/>
    <w:basedOn w:val="DefaultParagraphFont"/>
    <w:uiPriority w:val="32"/>
    <w:qFormat/>
    <w:rsid w:val="00DE646C"/>
    <w:rPr>
      <w:b/>
      <w:bCs/>
      <w:smallCaps/>
      <w:color w:val="0F4761" w:themeColor="accent1" w:themeShade="BF"/>
      <w:spacing w:val="5"/>
    </w:rPr>
  </w:style>
  <w:style w:type="table" w:styleId="TableGrid">
    <w:name w:val="Table Grid"/>
    <w:basedOn w:val="TableNormal"/>
    <w:uiPriority w:val="39"/>
    <w:rsid w:val="00DE646C"/>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DE646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842</Words>
  <Characters>4802</Characters>
  <Application>Microsoft Office Word</Application>
  <DocSecurity>0</DocSecurity>
  <Lines>40</Lines>
  <Paragraphs>11</Paragraphs>
  <ScaleCrop>false</ScaleCrop>
  <Company>Culver Educational Foundation</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2024-04-24T12:09:00Z</dcterms:created>
  <dcterms:modified xsi:type="dcterms:W3CDTF">2024-04-24T12:13:00Z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a51976e-1677-41d8-bbf2-3f9ab21c7064_Enabled">
    <vt:lpwstr>true</vt:lpwstr>
  </property>
  <property fmtid="{D5CDD505-2E9C-101B-9397-08002B2CF9AE}" pid="3" name="MSIP_Label_ca51976e-1677-41d8-bbf2-3f9ab21c7064_SetDate">
    <vt:lpwstr>2024-04-24T12:13:10Z</vt:lpwstr>
  </property>
  <property fmtid="{D5CDD505-2E9C-101B-9397-08002B2CF9AE}" pid="4" name="MSIP_Label_ca51976e-1677-41d8-bbf2-3f9ab21c7064_Method">
    <vt:lpwstr>Standard</vt:lpwstr>
  </property>
  <property fmtid="{D5CDD505-2E9C-101B-9397-08002B2CF9AE}" pid="5" name="MSIP_Label_ca51976e-1677-41d8-bbf2-3f9ab21c7064_Name">
    <vt:lpwstr>defa4170-0d19-0005-0004-bc88714345d2</vt:lpwstr>
  </property>
  <property fmtid="{D5CDD505-2E9C-101B-9397-08002B2CF9AE}" pid="6" name="MSIP_Label_ca51976e-1677-41d8-bbf2-3f9ab21c7064_SiteId">
    <vt:lpwstr>c31c975b-d687-4136-b03e-2462bfade1af</vt:lpwstr>
  </property>
  <property fmtid="{D5CDD505-2E9C-101B-9397-08002B2CF9AE}" pid="7" name="MSIP_Label_ca51976e-1677-41d8-bbf2-3f9ab21c7064_ActionId">
    <vt:lpwstr>3c39fac2-653e-4a4a-ba2b-dd561aa6e954</vt:lpwstr>
  </property>
  <property fmtid="{D5CDD505-2E9C-101B-9397-08002B2CF9AE}" pid="8" name="MSIP_Label_ca51976e-1677-41d8-bbf2-3f9ab21c7064_ContentBits">
    <vt:lpwstr>0</vt:lpwstr>
  </property>
</Properties>
</file>